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3" w:rsidRDefault="00EE6DB3"/>
    <w:p w:rsidR="00EE6DB3" w:rsidRPr="00EE6DB3" w:rsidRDefault="00EE6DB3" w:rsidP="00EE6DB3"/>
    <w:p w:rsidR="00EE6DB3" w:rsidRPr="00EE6DB3" w:rsidRDefault="00EE6DB3" w:rsidP="00EE6DB3"/>
    <w:p w:rsidR="00EE6DB3" w:rsidRPr="00EE6DB3" w:rsidRDefault="00EE6DB3" w:rsidP="00EE6DB3"/>
    <w:p w:rsidR="00EE6DB3" w:rsidRPr="00EE6DB3" w:rsidRDefault="00EE6DB3" w:rsidP="00EE6DB3"/>
    <w:p w:rsidR="00EE6DB3" w:rsidRPr="00EE6DB3" w:rsidRDefault="00EE6DB3" w:rsidP="00EE6D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97D74" wp14:editId="4C6EB95C">
                <wp:simplePos x="0" y="0"/>
                <wp:positionH relativeFrom="column">
                  <wp:posOffset>1671145</wp:posOffset>
                </wp:positionH>
                <wp:positionV relativeFrom="paragraph">
                  <wp:posOffset>229126</wp:posOffset>
                </wp:positionV>
                <wp:extent cx="5772150" cy="2128344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12834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B3" w:rsidRPr="00EE6DB3" w:rsidRDefault="00EE6DB3" w:rsidP="00EE6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</w:pP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The recurrent plot device of confinement, both physical a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nd psychological, as a means of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establishing power over others and its consequences in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Wuthering Heights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are explored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within the nineteenth-century social framework of tradit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ional gender roles. The primary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instigators of confinement in the novel, Catherine and Heathcliff, exhibit differi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ng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gender-related patterns. Catherine primarily views hersel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f in relation to others and her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acts of confinement become self-destructive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hereas Heath</w:t>
                            </w:r>
                            <w:r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cliff, in valuing hierarchy, is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destructive of others.</w:t>
                            </w:r>
                            <w:proofErr w:type="gramEnd"/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 Emily </w:t>
                            </w:r>
                            <w:proofErr w:type="spellStart"/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Brontë</w:t>
                            </w:r>
                            <w:proofErr w:type="spellEnd"/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 shows that as both Catherine and Heathc</w:t>
                            </w:r>
                            <w:r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liff follow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traditional gender roles, neither is able to achieve the</w:t>
                            </w:r>
                            <w:r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 communion they had as children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6pt;margin-top:18.05pt;width:454.5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PzKQIAAEcEAAAOAAAAZHJzL2Uyb0RvYy54bWysU9tu2zAMfR+wfxD0vvjSZEmNOEWXLsOA&#10;7gK0+wBZlmNhkuhJSuzs60vJbpZu2MswPQiiSB6Sh+T6ZtCKHIV1EkxJs1lKiTAcamn2Jf32uHuz&#10;osR5ZmqmwIiSnoSjN5vXr9Z9V4gcWlC1sARBjCv6rqSt912RJI63QjM3g04YVDZgNfMo2n1SW9Yj&#10;ulZJnqZvkx5s3Vngwjn8vRuVdBPxm0Zw/6VpnPBElRRz8/G28a7CnWzWrNhb1rWST2mwf8hCM2kw&#10;6BnqjnlGDlb+AaUlt+Cg8TMOOoGmkVzEGrCaLP2tmoeWdSLWguS47kyT+3+w/PPxqyWyLulVuqTE&#10;MI1NehSDJ+9gIHngp+9cgWYPHRr6Ab+xz7FW190D/+6IgW3LzF7cWgt9K1iN+WXBM7lwHXFcAKn6&#10;T1BjGHbwEIGGxupAHtJBEB37dDr3JqTC8XOxXObZAlUcdXmWr67m8xiDFc/unXX+gwBNwqOkFpsf&#10;4dnx3vmQDiueTUI0B0rWO6lUFOy+2ipLjgwHZYcnjbOBLi/MlCF9Sa8X+WJk4K8QaTxTgi8gtPQ4&#10;8Urqkq7ORqwIvL03dZxHz6Qa3xhfmYnIwN3Ioh+qYWpMBfUJKbUwTjZuIj5asD8p6XGqS+p+HJgV&#10;lKiPBttync3nYQ2iMF8scxTspaa61DDDEaqknpLxufVxdQJhBm6xfY2MxIY+j5lMueK0Rr6nzQrr&#10;cClHq1/7v3kCAAD//wMAUEsDBBQABgAIAAAAIQCwli+Y4gAAAAsBAAAPAAAAZHJzL2Rvd25yZXYu&#10;eG1sTI/LTsMwEEX3SPyDNUjsqBNHSiHEqRBSkVgUSqiE2Lnx5AHxOI2dNvw97gqWc+fozpl8NZue&#10;HXF0nSUJ8SIChlRZ3VEjYfe+vrkF5rwirXpLKOEHHayKy4tcZdqe6A2PpW9YKCGXKQmt90PGuata&#10;NMot7IAUdrUdjfJhHBuuR3UK5abnIopSblRH4UKrBnxssfouJyPh8zDVrx9fO3oSW3w5PK/vNnW5&#10;kfL6an64B+Zx9n8wnPWDOhTBaW8n0o71EkSaiIBKSNIY2BmIlyIk+5As4wR4kfP/PxS/AAAA//8D&#10;AFBLAQItABQABgAIAAAAIQC2gziS/gAAAOEBAAATAAAAAAAAAAAAAAAAAAAAAABbQ29udGVudF9U&#10;eXBlc10ueG1sUEsBAi0AFAAGAAgAAAAhADj9If/WAAAAlAEAAAsAAAAAAAAAAAAAAAAALwEAAF9y&#10;ZWxzLy5yZWxzUEsBAi0AFAAGAAgAAAAhANMZ4/MpAgAARwQAAA4AAAAAAAAAAAAAAAAALgIAAGRy&#10;cy9lMm9Eb2MueG1sUEsBAi0AFAAGAAgAAAAhALCWL5jiAAAACwEAAA8AAAAAAAAAAAAAAAAAgwQA&#10;AGRycy9kb3ducmV2LnhtbFBLBQYAAAAABAAEAPMAAACSBQAAAAA=&#10;" fillcolor="yellow">
                <v:textbox>
                  <w:txbxContent>
                    <w:p w:rsidR="00EE6DB3" w:rsidRPr="00EE6DB3" w:rsidRDefault="00EE6DB3" w:rsidP="00EE6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</w:pP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The recurrent plot device of confinement, both physical a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nd psychological, as a means of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establishing power over others and its consequences in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Wuthering Heights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are explored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within the nineteenth-century social framework of tradit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ional gender roles. The primary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instigators of confinement in the novel, Catherine and Heathcliff, exhibit differi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ng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gender-related patterns. Catherine primarily views hersel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f in relation to others and her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acts of confinement become self-destructive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.</w:t>
                      </w:r>
                      <w:r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W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hereas Heath</w:t>
                      </w:r>
                      <w:r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cliff, in valuing hierarchy, is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destructive of others.</w:t>
                      </w:r>
                      <w:proofErr w:type="gramEnd"/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 Emily </w:t>
                      </w:r>
                      <w:proofErr w:type="spellStart"/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Brontë</w:t>
                      </w:r>
                      <w:proofErr w:type="spellEnd"/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 shows that as both Catherine and Heathc</w:t>
                      </w:r>
                      <w:r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liff follow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traditional gender roles, neither is able to achieve the</w:t>
                      </w:r>
                      <w:r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 xml:space="preserve"> communion they had as children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Cs/>
                          <w:color w:val="292526"/>
                          <w:sz w:val="25"/>
                          <w:szCs w:val="21"/>
                        </w:rPr>
                        <w:t>together.</w:t>
                      </w:r>
                    </w:p>
                  </w:txbxContent>
                </v:textbox>
              </v:shape>
            </w:pict>
          </mc:Fallback>
        </mc:AlternateContent>
      </w:r>
    </w:p>
    <w:p w:rsidR="00EE6DB3" w:rsidRPr="00EE6DB3" w:rsidRDefault="00EE6DB3" w:rsidP="00EE6DB3"/>
    <w:p w:rsidR="00EE6DB3" w:rsidRPr="00EE6DB3" w:rsidRDefault="00EE6DB3" w:rsidP="00EE6DB3"/>
    <w:p w:rsidR="00EE6DB3" w:rsidRPr="00EE6DB3" w:rsidRDefault="00EE6DB3" w:rsidP="00EE6DB3"/>
    <w:p w:rsidR="00EE6DB3" w:rsidRPr="00EE6DB3" w:rsidRDefault="00EE6DB3" w:rsidP="00EE6DB3"/>
    <w:p w:rsidR="00EE6DB3" w:rsidRPr="00EE6DB3" w:rsidRDefault="00EE6DB3" w:rsidP="00EE6DB3"/>
    <w:p w:rsidR="00EE6DB3" w:rsidRPr="00EE6DB3" w:rsidRDefault="00EE6DB3" w:rsidP="00EE6DB3"/>
    <w:p w:rsidR="00EE6DB3" w:rsidRPr="00EE6DB3" w:rsidRDefault="00EE6DB3" w:rsidP="00EE6DB3"/>
    <w:p w:rsidR="00EE6DB3" w:rsidRDefault="00EE6DB3" w:rsidP="00EE6DB3"/>
    <w:p w:rsidR="00EE6DB3" w:rsidRDefault="00EE6DB3" w:rsidP="00EE6DB3"/>
    <w:p w:rsidR="009F0767" w:rsidRDefault="009F0767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111DD" wp14:editId="7EC706DA">
                <wp:simplePos x="0" y="0"/>
                <wp:positionH relativeFrom="column">
                  <wp:posOffset>1828800</wp:posOffset>
                </wp:positionH>
                <wp:positionV relativeFrom="paragraph">
                  <wp:posOffset>63566</wp:posOffset>
                </wp:positionV>
                <wp:extent cx="5772150" cy="1813034"/>
                <wp:effectExtent l="0" t="0" r="1905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81303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B3" w:rsidRPr="00EE6DB3" w:rsidRDefault="00EE6DB3" w:rsidP="00EE6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</w:pP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 xml:space="preserve">Even on a casual reading of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7"/>
                                <w:szCs w:val="21"/>
                              </w:rPr>
                              <w:t>Wuthering Heights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>, reade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 xml:space="preserve">rs are confronted with numerous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>instances of confinement in the novel: Lockwood, trapped at Wut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 xml:space="preserve">hering Heights,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>Heathcliff, locked in the garret as a boy, Catherine</w:t>
                            </w:r>
                            <w:proofErr w:type="gramStart"/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>,</w:t>
                            </w:r>
                            <w:r w:rsidRPr="00EE6DB3">
                              <w:rPr>
                                <w:rFonts w:ascii="CGSabonMTSup" w:hAnsi="CGSabonMTSup" w:cs="CGSabonMTSup"/>
                                <w:b/>
                                <w:color w:val="292526"/>
                                <w:sz w:val="27"/>
                                <w:szCs w:val="21"/>
                              </w:rPr>
                              <w:t>1</w:t>
                            </w:r>
                            <w:proofErr w:type="gramEnd"/>
                            <w:r w:rsidRPr="00EE6DB3">
                              <w:rPr>
                                <w:rFonts w:ascii="CGSabonMTSup" w:hAnsi="CGSabonMTSup" w:cs="CGSabonMTSup"/>
                                <w:b/>
                                <w:color w:val="292526"/>
                                <w:sz w:val="27"/>
                                <w:szCs w:val="21"/>
                              </w:rPr>
                              <w:t xml:space="preserve">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>w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 xml:space="preserve">ho imprisons herself, and Nelly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 xml:space="preserve">and Cathy Linton, who are held at Wuthering Heights by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 xml:space="preserve">Heathcliff. In fact, almost the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>entire novel takes place indoors in the confining rooms of Wuther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 xml:space="preserve">ing Heights or </w:t>
                            </w:r>
                            <w:proofErr w:type="spellStart"/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>Thrushcross</w:t>
                            </w:r>
                            <w:proofErr w:type="spellEnd"/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 xml:space="preserve"> Grange. Furthermore, characters become confin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 xml:space="preserve">ed mentally and psychologically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7"/>
                                <w:szCs w:val="21"/>
                              </w:rPr>
                              <w:t>as well as literally. The effect is quite stifling.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in;margin-top:5pt;width:454.5pt;height:1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ZZKQIAAEwEAAAOAAAAZHJzL2Uyb0RvYy54bWysVNtu2zAMfR+wfxD0vvjSZE2NOEWXrMOA&#10;7gK0+wBGlmNhsuhJSuzs60fJaWpsexrmB0EUqcPDQ9Gr26HV7CitU2hKns1SzqQRWCmzL/m3p/s3&#10;S86cB1OBRiNLfpKO365fv1r1XSFzbFBX0jICMa7ou5I33ndFkjjRyBbcDDtpyFmjbcGTafdJZaEn&#10;9FYneZq+TXq0VWdRSOfodDs6+Tri17UU/ktdO+mZLjlx83G1cd2FNVmvoNhb6BolzjTgH1i0oAwl&#10;vUBtwQM7WPUHVKuERYe1nwlsE6xrJWSsgarJ0t+qeWygk7EWEsd1F5nc/4MVn49fLVMV9Y4zAy21&#10;6EkOnr3DgeVBnb5zBQU9dhTmBzoOkaFS1z2g+O6YwU0DZi/vrMW+kVARuyzcTCZXRxwXQHb9J6wo&#10;DRw8RqChtm0AJDEYoVOXTpfOBCqCDhfX13m2IJcgX7bMrtKrecwBxfP1zjr/QWLLwqbkllof4eH4&#10;4HygA8VzSKSPWlX3Suto2P1uoy07Aj2Tm3ybUqrxipuGacN68i/yxajA1OemEGn8/gbRKk/vXau2&#10;5MtLEBRBt/emopxQeFB63BNlbc5CBu1GFf2wG84do/gg8g6rEylrcXzeNI60adD+5Kynp11y9+MA&#10;VnKmPxrqzk02n4dZiMZ8cZ2TYaee3dQDRhBUyT1n43bj4/wEqgbvqIu1ivq+MDlTpicbZT+PV5iJ&#10;qR2jXn4C618AAAD//wMAUEsDBBQABgAIAAAAIQBdGXKB3QAAAAsBAAAPAAAAZHJzL2Rvd25yZXYu&#10;eG1sTI/BTsMwEETvSPyDtUjcqNOKQBriVAUJ1Bsi8AFb2ySBeB3ZbhL+nu0JTrurN5qdqXaLG8Rk&#10;Q+w9KVivMhCWtDc9tQo+3p9vChAxIRkcPFkFPzbCrr68qLA0fqY3OzWpFWxCsUQFXUpjKWXUnXUY&#10;V360xOzTB4eJz9BKE3BmczfITZbdSYc98YcOR/vUWf3dnJyCkO/x9vDYHkL2omedvuh1akip66tl&#10;/wAi2SX9ieEcn6NDzZmO/kQmikHBpii4S2KQ8TwL1tt73o6MtnkOsq7k/w71LwAAAP//AwBQSwEC&#10;LQAUAAYACAAAACEAtoM4kv4AAADhAQAAEwAAAAAAAAAAAAAAAAAAAAAAW0NvbnRlbnRfVHlwZXNd&#10;LnhtbFBLAQItABQABgAIAAAAIQA4/SH/1gAAAJQBAAALAAAAAAAAAAAAAAAAAC8BAABfcmVscy8u&#10;cmVsc1BLAQItABQABgAIAAAAIQA1RnZZKQIAAEwEAAAOAAAAAAAAAAAAAAAAAC4CAABkcnMvZTJv&#10;RG9jLnhtbFBLAQItABQABgAIAAAAIQBdGXKB3QAAAAsBAAAPAAAAAAAAAAAAAAAAAIMEAABkcnMv&#10;ZG93bnJldi54bWxQSwUGAAAAAAQABADzAAAAjQUAAAAA&#10;" fillcolor="#92d050">
                <v:textbox>
                  <w:txbxContent>
                    <w:p w:rsidR="00EE6DB3" w:rsidRPr="00EE6DB3" w:rsidRDefault="00EE6DB3" w:rsidP="00EE6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</w:pP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 xml:space="preserve">Even on a casual reading of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7"/>
                          <w:szCs w:val="21"/>
                        </w:rPr>
                        <w:t>Wuthering Heights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>, reade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 xml:space="preserve">rs are confronted with numerous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>instances of confinement in the novel: Lockwood, trapped at Wut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 xml:space="preserve">hering Heights,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>Heathcliff, locked in the garret as a boy, Catherine</w:t>
                      </w:r>
                      <w:proofErr w:type="gramStart"/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>,</w:t>
                      </w:r>
                      <w:r w:rsidRPr="00EE6DB3">
                        <w:rPr>
                          <w:rFonts w:ascii="CGSabonMTSup" w:hAnsi="CGSabonMTSup" w:cs="CGSabonMTSup"/>
                          <w:b/>
                          <w:color w:val="292526"/>
                          <w:sz w:val="27"/>
                          <w:szCs w:val="21"/>
                        </w:rPr>
                        <w:t>1</w:t>
                      </w:r>
                      <w:proofErr w:type="gramEnd"/>
                      <w:r w:rsidRPr="00EE6DB3">
                        <w:rPr>
                          <w:rFonts w:ascii="CGSabonMTSup" w:hAnsi="CGSabonMTSup" w:cs="CGSabonMTSup"/>
                          <w:b/>
                          <w:color w:val="292526"/>
                          <w:sz w:val="27"/>
                          <w:szCs w:val="21"/>
                        </w:rPr>
                        <w:t xml:space="preserve">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>w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 xml:space="preserve">ho imprisons herself, and Nelly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 xml:space="preserve">and Cathy Linton, who are held at Wuthering Heights by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 xml:space="preserve">Heathcliff. In fact, almost the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>entire novel takes place indoors in the confining rooms of Wuther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 xml:space="preserve">ing Heights or </w:t>
                      </w:r>
                      <w:proofErr w:type="spellStart"/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>Thrushcross</w:t>
                      </w:r>
                      <w:proofErr w:type="spellEnd"/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 xml:space="preserve"> Grange. Furthermore, characters become confin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 xml:space="preserve">ed mentally and psychologically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7"/>
                          <w:szCs w:val="21"/>
                        </w:rPr>
                        <w:t>as well as literally. The effect is quite stifling.</w:t>
                      </w:r>
                    </w:p>
                  </w:txbxContent>
                </v:textbox>
              </v:shape>
            </w:pict>
          </mc:Fallback>
        </mc:AlternateContent>
      </w: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83329" wp14:editId="357F65AA">
                <wp:simplePos x="0" y="0"/>
                <wp:positionH relativeFrom="column">
                  <wp:posOffset>1986455</wp:posOffset>
                </wp:positionH>
                <wp:positionV relativeFrom="paragraph">
                  <wp:posOffset>221221</wp:posOffset>
                </wp:positionV>
                <wp:extent cx="5772150" cy="2191407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19140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B3" w:rsidRPr="00EE6DB3" w:rsidRDefault="00EE6DB3" w:rsidP="00EE6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</w:pP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Two early critics, Albert Guerard</w:t>
                            </w:r>
                            <w:r w:rsidRPr="00EE6DB3">
                              <w:rPr>
                                <w:rFonts w:ascii="CGSabonMTSup" w:hAnsi="CGSabonMTSup" w:cs="CGSabonMTSup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2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and Dorothy Van Ghent</w:t>
                            </w:r>
                            <w:proofErr w:type="gramStart"/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,</w:t>
                            </w:r>
                            <w:r w:rsidRPr="00EE6DB3">
                              <w:rPr>
                                <w:rFonts w:ascii="CGSabonMTSup" w:hAnsi="CGSabonMTSup" w:cs="CGSabonMTSup"/>
                                <w:b/>
                                <w:color w:val="292526"/>
                                <w:sz w:val="25"/>
                                <w:szCs w:val="21"/>
                              </w:rPr>
                              <w:t>3</w:t>
                            </w:r>
                            <w:proofErr w:type="gramEnd"/>
                            <w:r w:rsidRPr="00EE6DB3">
                              <w:rPr>
                                <w:rFonts w:ascii="CGSabonMTSup" w:hAnsi="CGSabonMTSup" w:cs="CGSabonMTSup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acknowledge the</w:t>
                            </w:r>
                          </w:p>
                          <w:p w:rsidR="00EE6DB3" w:rsidRPr="003E68A5" w:rsidRDefault="00EE6DB3" w:rsidP="00EE6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MT-SCOSF" w:hAnsi="SabonMT-SCOSF" w:cs="SabonMT-SCOSF"/>
                                <w:b/>
                                <w:color w:val="292526"/>
                                <w:sz w:val="25"/>
                                <w:szCs w:val="21"/>
                              </w:rPr>
                            </w:pP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180 </w:t>
                            </w:r>
                            <w:r>
                              <w:rPr>
                                <w:rFonts w:ascii="SabonMT-SCOSF" w:hAnsi="SabonMT-SCOSF" w:cs="SabonMT-SC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Jamie S. Crouse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various image patterns throughout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Wuthering Heights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, and they have pointed out the</w:t>
                            </w:r>
                            <w:r>
                              <w:rPr>
                                <w:rFonts w:ascii="SabonMT-SCOSF" w:hAnsi="SabonMT-SCOSF" w:cs="SabonMT-SC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frequent imagery of doors, windows and locks, but neither presents a sustained analysis</w:t>
                            </w:r>
                            <w:r>
                              <w:rPr>
                                <w:rFonts w:ascii="SabonMT-SCOSF" w:hAnsi="SabonMT-SCOSF" w:cs="SabonMT-SC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of the topic. Marjorie Burns also considers the recurring imagery of ‘“fetters,” “chains,”</w:t>
                            </w:r>
                            <w:r>
                              <w:rPr>
                                <w:rFonts w:ascii="SabonMT-SCOSF" w:hAnsi="SabonMT-SCOSF" w:cs="SabonMT-SC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and “dungeons”’ in Emily </w:t>
                            </w:r>
                            <w:proofErr w:type="spellStart"/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Brontë’s</w:t>
                            </w:r>
                            <w:proofErr w:type="spellEnd"/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poetry and the enclosures, barriers, and the series of</w:t>
                            </w:r>
                            <w:r>
                              <w:rPr>
                                <w:rFonts w:ascii="SabonMT-SCOSF" w:hAnsi="SabonMT-SCOSF" w:cs="SabonMT-SC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characters who are exiled or imprisoned in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Wuthering Heights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’ as they exemplify the</w:t>
                            </w:r>
                            <w:r>
                              <w:rPr>
                                <w:rFonts w:ascii="SabonMT-SCOSF" w:hAnsi="SabonMT-SCOSF" w:cs="SabonMT-SC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theme of freedom and its opposite, imprisonment, in her poetry and fiction.</w:t>
                            </w:r>
                            <w:r w:rsidRPr="00EE6DB3">
                              <w:rPr>
                                <w:rFonts w:ascii="CGSabonMTSup" w:hAnsi="CGSabonMTSup" w:cs="CGSabonMTSup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Elizabeth</w:t>
                            </w:r>
                            <w:r w:rsidR="003E68A5">
                              <w:rPr>
                                <w:rFonts w:ascii="SabonMT-SCOSF" w:hAnsi="SabonMT-SCOSF" w:cs="SabonMT-SC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Napier considers the topic further in ‘The Problem of Boundaries in </w:t>
                            </w:r>
                            <w:r w:rsidRPr="00EE6DB3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Wuthering Heights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in which she claims these boundaries, including walls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, windows, hedges, gates, doors </w:t>
                            </w:r>
                            <w:r w:rsidRPr="00EE6DB3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and property lines, act as literal reminders of emotional boundaries.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6.4pt;margin-top:17.4pt;width:454.5pt;height:1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aFKwIAAEwEAAAOAAAAZHJzL2Uyb0RvYy54bWysVNtu2zAMfR+wfxD0vviCZGmNOEWbLsOA&#10;7gK0+wBFlmNhkqhJSuzs60fJbpZuwB6G+UEQReqQOof06mbQihyF8xJMTYtZTokwHBpp9jX9+rR9&#10;c0WJD8w0TIERNT0JT2/Wr1+teluJEjpQjXAEQYyvelvTLgRbZZnnndDMz8AKg84WnGYBTbfPGsd6&#10;RNcqK/P8bdaDa6wDLrzH0/vRSdcJv20FD5/b1otAVE2xtpBWl9ZdXLP1ilV7x2wn+VQG+4cqNJMG&#10;k56h7llg5ODkH1Bacgce2jDjoDNoW8lFegO+psh/e81jx6xIb0FyvD3T5P8fLP90/OKIbGpaUmKY&#10;RomexBDIHQykjOz01lcY9GgxLAx4jCqnl3r7APybJwY2HTN7cesc9J1gDVZXxJvZxdURx0eQXf8R&#10;GkzDDgES0NA6HalDMgiio0qnszKxFI6Hi+WyLBbo4ugri+tini9TDlY9X7fOh/cCNImbmjqUPsGz&#10;44MPsRxWPYfEbB6UbLZSqWS4/W6jHDmy2Cb5Xb5NnYFXXoQpQ/qaXi/KxcjAXyBy/KYCX0BoGbDf&#10;ldQ1vYoxUwdG3t6ZJnVjYFKNe8yvzERk5G5kMQy7YVJs0mcHzQmZdTC2N44jbjpwPyjpsbVr6r8f&#10;mBOUqA8G1UH25nEWkjFfLEs03KVnd+lhhiNUTQMl43YT0vxE3gzcooqtTPxGucdKppKxZRPt03jF&#10;mbi0U9Svn8D6JwAAAP//AwBQSwMEFAAGAAgAAAAhANEPTrPfAAAACwEAAA8AAABkcnMvZG93bnJl&#10;di54bWxMj0FPwzAMhe9I/IfISNxY2oJgLU2nCQnBBU0dXLi5TdZWNE6VZFvZr8c7sZOf7afnz+Vq&#10;tqM4GB8GRwrSRQLCUOv0QJ2Cr8/XuyWIEJE0jo6Mgl8TYFVdX5VYaHek2hy2sRMcQqFABX2MUyFl&#10;aHtjMSzcZIh3O+ctRm59J7XHI4fbUWZJ8igtDsQXepzMS2/an+3eKvjGZe2zenN628n247TON8l7&#10;I5W6vZnXzyCimeO/Gc74jA4VMzVuTzqIUcF9mjF6ZPHA9WzIspRVw5OnPAdZlfLyh+oPAAD//wMA&#10;UEsBAi0AFAAGAAgAAAAhALaDOJL+AAAA4QEAABMAAAAAAAAAAAAAAAAAAAAAAFtDb250ZW50X1R5&#10;cGVzXS54bWxQSwECLQAUAAYACAAAACEAOP0h/9YAAACUAQAACwAAAAAAAAAAAAAAAAAvAQAAX3Jl&#10;bHMvLnJlbHNQSwECLQAUAAYACAAAACEAKBNmhSsCAABMBAAADgAAAAAAAAAAAAAAAAAuAgAAZHJz&#10;L2Uyb0RvYy54bWxQSwECLQAUAAYACAAAACEA0Q9Os98AAAALAQAADwAAAAAAAAAAAAAAAACFBAAA&#10;ZHJzL2Rvd25yZXYueG1sUEsFBgAAAAAEAAQA8wAAAJEFAAAAAA==&#10;" fillcolor="#00b0f0">
                <v:textbox>
                  <w:txbxContent>
                    <w:p w:rsidR="00EE6DB3" w:rsidRPr="00EE6DB3" w:rsidRDefault="00EE6DB3" w:rsidP="00EE6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</w:pP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Two early critics, Albert Guerard</w:t>
                      </w:r>
                      <w:r w:rsidRPr="00EE6DB3">
                        <w:rPr>
                          <w:rFonts w:ascii="CGSabonMTSup" w:hAnsi="CGSabonMTSup" w:cs="CGSabonMTSup"/>
                          <w:b/>
                          <w:color w:val="292526"/>
                          <w:sz w:val="25"/>
                          <w:szCs w:val="21"/>
                        </w:rPr>
                        <w:t xml:space="preserve">2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and Dorothy Van Ghent</w:t>
                      </w:r>
                      <w:proofErr w:type="gramStart"/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,</w:t>
                      </w:r>
                      <w:r w:rsidRPr="00EE6DB3">
                        <w:rPr>
                          <w:rFonts w:ascii="CGSabonMTSup" w:hAnsi="CGSabonMTSup" w:cs="CGSabonMTSup"/>
                          <w:b/>
                          <w:color w:val="292526"/>
                          <w:sz w:val="25"/>
                          <w:szCs w:val="21"/>
                        </w:rPr>
                        <w:t>3</w:t>
                      </w:r>
                      <w:proofErr w:type="gramEnd"/>
                      <w:r w:rsidRPr="00EE6DB3">
                        <w:rPr>
                          <w:rFonts w:ascii="CGSabonMTSup" w:hAnsi="CGSabonMTSup" w:cs="CGSabonMTSup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acknowledge the</w:t>
                      </w:r>
                    </w:p>
                    <w:p w:rsidR="00EE6DB3" w:rsidRPr="003E68A5" w:rsidRDefault="00EE6DB3" w:rsidP="00EE6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MT-SCOSF" w:hAnsi="SabonMT-SCOSF" w:cs="SabonMT-SCOSF"/>
                          <w:b/>
                          <w:color w:val="292526"/>
                          <w:sz w:val="25"/>
                          <w:szCs w:val="21"/>
                        </w:rPr>
                      </w:pP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180 </w:t>
                      </w:r>
                      <w:r>
                        <w:rPr>
                          <w:rFonts w:ascii="SabonMT-SCOSF" w:hAnsi="SabonMT-SCOSF" w:cs="SabonMT-SCOSF"/>
                          <w:b/>
                          <w:color w:val="292526"/>
                          <w:sz w:val="25"/>
                          <w:szCs w:val="21"/>
                        </w:rPr>
                        <w:t xml:space="preserve">Jamie S. Crouse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various image patterns throughout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Wuthering Heights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, and they have pointed out the</w:t>
                      </w:r>
                      <w:r>
                        <w:rPr>
                          <w:rFonts w:ascii="SabonMT-SCOSF" w:hAnsi="SabonMT-SCOSF" w:cs="SabonMT-SCOSF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frequent imagery of doors, windows and locks, but neither presents a sustained analysis</w:t>
                      </w:r>
                      <w:r>
                        <w:rPr>
                          <w:rFonts w:ascii="SabonMT-SCOSF" w:hAnsi="SabonMT-SCOSF" w:cs="SabonMT-SCOSF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of the topic. Marjorie Burns also considers the recurring imagery of ‘“fetters,” “chains,”</w:t>
                      </w:r>
                      <w:r>
                        <w:rPr>
                          <w:rFonts w:ascii="SabonMT-SCOSF" w:hAnsi="SabonMT-SCOSF" w:cs="SabonMT-SCOSF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and “dungeons”’ in Emily </w:t>
                      </w:r>
                      <w:proofErr w:type="spellStart"/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Brontë’s</w:t>
                      </w:r>
                      <w:proofErr w:type="spellEnd"/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poetry and the enclosures, barriers, and the series of</w:t>
                      </w:r>
                      <w:r>
                        <w:rPr>
                          <w:rFonts w:ascii="SabonMT-SCOSF" w:hAnsi="SabonMT-SCOSF" w:cs="SabonMT-SCOSF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characters who are exiled or imprisoned in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Wuthering Heights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’ as they exemplify the</w:t>
                      </w:r>
                      <w:r>
                        <w:rPr>
                          <w:rFonts w:ascii="SabonMT-SCOSF" w:hAnsi="SabonMT-SCOSF" w:cs="SabonMT-SCOSF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theme of freedom and its opposite, imprisonment, in her poetry and fiction.</w:t>
                      </w:r>
                      <w:r w:rsidRPr="00EE6DB3">
                        <w:rPr>
                          <w:rFonts w:ascii="CGSabonMTSup" w:hAnsi="CGSabonMTSup" w:cs="CGSabonMTSup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Elizabeth</w:t>
                      </w:r>
                      <w:r w:rsidR="003E68A5">
                        <w:rPr>
                          <w:rFonts w:ascii="SabonMT-SCOSF" w:hAnsi="SabonMT-SCOSF" w:cs="SabonMT-SCOSF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Napier considers the topic further in ‘The Problem of Boundaries in </w:t>
                      </w:r>
                      <w:r w:rsidRPr="00EE6DB3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Wuthering Heights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’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in which she claims these boundaries, including walls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, windows, hedges, gates, doors </w:t>
                      </w:r>
                      <w:r w:rsidRPr="00EE6DB3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and property lines, act as literal reminders of emotional boundaries.</w:t>
                      </w:r>
                    </w:p>
                  </w:txbxContent>
                </v:textbox>
              </v:shape>
            </w:pict>
          </mc:Fallback>
        </mc:AlternateContent>
      </w: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3E68A5" w:rsidP="00EE6D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CE400" wp14:editId="6D93AE96">
                <wp:simplePos x="0" y="0"/>
                <wp:positionH relativeFrom="column">
                  <wp:posOffset>1701209</wp:posOffset>
                </wp:positionH>
                <wp:positionV relativeFrom="paragraph">
                  <wp:posOffset>313292</wp:posOffset>
                </wp:positionV>
                <wp:extent cx="6195695" cy="1977656"/>
                <wp:effectExtent l="0" t="0" r="1460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9776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B3" w:rsidRPr="003E68A5" w:rsidRDefault="00EE6DB3" w:rsidP="00EE6D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</w:pP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 few critics have begun to consider the role of confinement in terms of gender.</w:t>
                            </w:r>
                            <w:r w:rsid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="003E68A5"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Carole </w:t>
                            </w:r>
                            <w:proofErr w:type="spellStart"/>
                            <w:r w:rsidR="003E68A5"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Gerster</w:t>
                            </w:r>
                            <w:proofErr w:type="spellEnd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argues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that the characters in </w:t>
                            </w:r>
                            <w:r w:rsidRPr="003E68A5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 xml:space="preserve">Wuthering Heights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are locked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up and confined by traditional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gender roles. She focuses on Lockwood but does s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how how Catherine </w:t>
                            </w:r>
                            <w:proofErr w:type="spellStart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Earnshaw</w:t>
                            </w:r>
                            <w:proofErr w:type="spellEnd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also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succumbs to expectations of femininity, especially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during her imprisonment at the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Grange, which becomes stifling to her.</w:t>
                            </w:r>
                            <w:r w:rsidRPr="003E68A5">
                              <w:rPr>
                                <w:rFonts w:ascii="CGSabonMTSup" w:hAnsi="CGSabonMTSup" w:cs="CGSabonMTSup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An early bu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t important work on the subject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of gender relations in </w:t>
                            </w:r>
                            <w:r w:rsidRPr="003E68A5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Wuthering Heights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, Sandra Gilbert and Susan </w:t>
                            </w:r>
                            <w:proofErr w:type="spellStart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Gubar’s</w:t>
                            </w:r>
                            <w:proofErr w:type="spellEnd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3E68A5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The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3E68A5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Madwoman in the Attic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, connects the predomina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nce of confinement, not only to </w:t>
                            </w:r>
                            <w:r w:rsidRPr="003E68A5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Wuthering Heights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, but as a recurring phenomenon in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the works of nineteenth-century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women writers in general, indicative of the woman writer’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s feeling of confinement, in a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literary world ruled by 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33.95pt;margin-top:24.65pt;width:487.85pt;height:1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v2KwIAAEwEAAAOAAAAZHJzL2Uyb0RvYy54bWysVNtu2zAMfR+wfxD0vthO47Qx4hRdugwD&#10;ugvQ7gNkWY6FyaImKbGzrx8lu1m2oS/DXgxJJA/Jc0ivb4dOkaOwToIuaTZLKRGaQy31vqRfn3Zv&#10;bihxnumaKdCipCfh6O3m9at1bwoxhxZULSxBEO2K3pS09d4USeJ4KzrmZmCERmMDtmMer3af1Jb1&#10;iN6pZJ6my6QHWxsLXDiHr/ejkW4iftMI7j83jROeqJJibT5+bfxW4Zts1qzYW2Zayacy2D9U0TGp&#10;MekZ6p55Rg5W/gXVSW7BQeNnHLoEmkZyEXvAbrL0j24eW2ZE7AXJceZMk/t/sPzT8Yslsi7pFSWa&#10;dSjRkxg8eQsDuQrs9MYV6PRo0M0P+Iwqx06deQD+zREN25bpvbizFvpWsBqry0JkchE64rgAUvUf&#10;ocY07OAhAg2N7QJ1SAZBdFTpdFYmlMLxcZmt8uUqp4SjLVtdXy/zZczBiudwY51/L6Aj4VBSi9JH&#10;eHZ8cD6Uw4pnl5DNgZL1TioVL3ZfbZUlR4Zjsttt0zROBob85qY06Uu6yuf5yMCLEBj/AkQnPc67&#10;kl1Jb85OrAi8vdN1nEbPpBrPmF/picjA3ciiH6phUmzSp4L6hMxaGMcb1xEPLdgflPQ42iV13w/M&#10;CkrUB43qrLLFIuxCvCzy6zle7KWlurQwzRGqpJ6S8bj1cX8CbxruUMVGRn6D3GMlU8k4spH2ab3C&#10;Tlzeo9evn8DmJwAAAP//AwBQSwMEFAAGAAgAAAAhANG15LDgAAAACwEAAA8AAABkcnMvZG93bnJl&#10;di54bWxMj1FLwzAUhd8F/0O4gm8utS2t7ZoOFQRBHDgLe02ba1NsbmqTbd2/N3vSx8v5OOe71WYx&#10;Izvi7AZLAu5XETCkzqqBegHN58vdAzDnJSk5WkIBZ3Swqa+vKlkqe6IPPO58z0IJuVIK0N5PJeeu&#10;02ikW9kJKWRfdjbSh3PuuZrlKZSbkcdRlHEjBwoLWk74rLH73h2MANvsm1a/Fdb9vNPrJNN8+3Se&#10;hbi9WR7XwDwu/g+Gi35Qhzo4tfZAyrFRQJzlRUAFpEUC7ALEaZIBawUkWZQDryv+/4f6FwAA//8D&#10;AFBLAQItABQABgAIAAAAIQC2gziS/gAAAOEBAAATAAAAAAAAAAAAAAAAAAAAAABbQ29udGVudF9U&#10;eXBlc10ueG1sUEsBAi0AFAAGAAgAAAAhADj9If/WAAAAlAEAAAsAAAAAAAAAAAAAAAAALwEAAF9y&#10;ZWxzLy5yZWxzUEsBAi0AFAAGAAgAAAAhAPSFG/YrAgAATAQAAA4AAAAAAAAAAAAAAAAALgIAAGRy&#10;cy9lMm9Eb2MueG1sUEsBAi0AFAAGAAgAAAAhANG15LDgAAAACwEAAA8AAAAAAAAAAAAAAAAAhQQA&#10;AGRycy9kb3ducmV2LnhtbFBLBQYAAAAABAAEAPMAAACSBQAAAAA=&#10;" fillcolor="#ffc000">
                <v:textbox>
                  <w:txbxContent>
                    <w:p w:rsidR="00EE6DB3" w:rsidRPr="003E68A5" w:rsidRDefault="00EE6DB3" w:rsidP="00EE6D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</w:pP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 few critics have begun to consider the role of confinement in terms of gender.</w:t>
                      </w:r>
                      <w:r w:rsid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="003E68A5"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Carole </w:t>
                      </w:r>
                      <w:proofErr w:type="spellStart"/>
                      <w:r w:rsidR="003E68A5"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Gerster</w:t>
                      </w:r>
                      <w:proofErr w:type="spellEnd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argues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that the characters in </w:t>
                      </w:r>
                      <w:r w:rsidRPr="003E68A5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 xml:space="preserve">Wuthering Heights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are locked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up and confined by traditional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gender roles. She focuses on Lockwood but does s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how how Catherine </w:t>
                      </w:r>
                      <w:proofErr w:type="spellStart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Earnshaw</w:t>
                      </w:r>
                      <w:proofErr w:type="spellEnd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also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succumbs to expectations of femininity, especially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during her imprisonment at the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Grange, which becomes stifling to her.</w:t>
                      </w:r>
                      <w:r w:rsidRPr="003E68A5">
                        <w:rPr>
                          <w:rFonts w:ascii="CGSabonMTSup" w:hAnsi="CGSabonMTSup" w:cs="CGSabonMTSup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An early bu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t important work on the subject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of gender relations in </w:t>
                      </w:r>
                      <w:r w:rsidRPr="003E68A5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Wuthering Heights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, Sandra Gilbert and Susan </w:t>
                      </w:r>
                      <w:proofErr w:type="spellStart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Gubar’s</w:t>
                      </w:r>
                      <w:proofErr w:type="spellEnd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3E68A5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The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3E68A5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Madwoman in the Attic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, connects the predomina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nce of confinement, not only to </w:t>
                      </w:r>
                      <w:r w:rsidRPr="003E68A5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Wuthering Heights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, but as a recurring phenomenon in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the works of nineteenth-century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women writers in general, indicative of the woman writer’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s feeling of confinement, in a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literary world ruled by men.</w:t>
                      </w:r>
                    </w:p>
                  </w:txbxContent>
                </v:textbox>
              </v:shape>
            </w:pict>
          </mc:Fallback>
        </mc:AlternateContent>
      </w: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3E68A5" w:rsidP="00EE6D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A4545" wp14:editId="33701D6B">
                <wp:simplePos x="0" y="0"/>
                <wp:positionH relativeFrom="column">
                  <wp:posOffset>1413510</wp:posOffset>
                </wp:positionH>
                <wp:positionV relativeFrom="paragraph">
                  <wp:posOffset>99695</wp:posOffset>
                </wp:positionV>
                <wp:extent cx="6836410" cy="2179320"/>
                <wp:effectExtent l="0" t="0" r="2159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179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A5" w:rsidRPr="003E68A5" w:rsidRDefault="003E68A5" w:rsidP="003E68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</w:pP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The novel opens with images of confinement that display these differences and set th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e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stage for the importance that confinement will play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throughout the story. Lockwood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himself is the first to become imprisoned at Wuther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ing Heights, ostensibly by both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Heathcliff and Catherine, which establishes their role in the story 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as the chief instigators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of conf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inement. Lockwood is trapped at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Wuthering 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Heights when a severe snowstorm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has blown in, and Heathcliff will allow no one to gu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ide Lockwood home. Even without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 guide, Lockwood attempts to leave on his own but is stopped by Heathcliff’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s ferocious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dogs. Lockwood orders them to let him out, which shows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that he already feels trapped,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and he falls into a fit. He writes, ‘I was sick exceedingly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, and dizzy and faint; and thus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compelled, perforce, to accept lodgings under his roof’ (</w:t>
                            </w:r>
                            <w:r w:rsidRPr="003E68A5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WH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, p. 16).</w:t>
                            </w:r>
                            <w:r w:rsidRPr="003E68A5">
                              <w:rPr>
                                <w:rFonts w:ascii="CGSabonMTSup" w:hAnsi="CGSabonMTSup" w:cs="CGSabonMTSup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22 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His use of the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word ‘compelled’ reveals that that he is being held there a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gainst his will. This naturally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relates to Heathcliff’s control of the situation.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11.3pt;margin-top:7.85pt;width:538.3pt;height:17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zRKAIAAEwEAAAOAAAAZHJzL2Uyb0RvYy54bWysVNtu2zAMfR+wfxD0vjhJnTQx4hRdugwD&#10;ugvQ7gNkWY6FSaImKbG7rx8lu1nQbS/D/CCIInVEnkN6c9NrRU7CeQmmpLPJlBJhONTSHEr69XH/&#10;ZkWJD8zUTIERJX0Snt5sX7/adLYQc2hB1cIRBDG+6GxJ2xBskWWet0IzPwErDDobcJoFNN0hqx3r&#10;EF2rbD6dLrMOXG0dcOE9nt4NTrpN+E0jePjcNF4EokqKuYW0urRWcc22G1YcHLOt5GMa7B+y0Ewa&#10;fPQMdccCI0cnf4PSkjvw0IQJB51B00guUg1YzWz6opqHllmRakFyvD3T5P8fLP90+uKIrEuaU2KY&#10;RokeRR/IW+hJHtnprC8w6MFiWOjxGFVOlXp7D/ybJwZ2LTMHcescdK1gNWY3izezi6sDjo8gVfcR&#10;anyGHQMkoL5xOlKHZBBER5WezsrEVDgeLldXy3yGLo6++ex6fTVP2mWseL5unQ/vBWgSNyV1KH2C&#10;Z6d7H2I6rHgOia95ULLeS6WS4Q7VTjlyYtgm+/0Uv1TBizBlSFfS9WK+GBj4K0QE+DOElgH7XUld&#10;0tU5iBWRt3emTt0YmFTDHlNWZiQycjewGPqqHxUb9amgfkJmHQztjeOImxbcD0o6bO2S+u9H5gQl&#10;6oNBddazPI+zkIx8cY1UEnfpqS49zHCEKmmgZNjuQpqfyJuBW1SxkYnfKPeQyZgytmyifRyvOBOX&#10;dor69RPY/gQAAP//AwBQSwMEFAAGAAgAAAAhAFedFZDeAAAACwEAAA8AAABkcnMvZG93bnJldi54&#10;bWxMj8FOwzAQRO9I/IO1SNyog1FLksapEIgLF9SCxNWJt3EgXke2m6Z8Pe6JHlfzNPO22sx2YBP6&#10;0DuScL/IgCG1TvfUSfj8eL3LgYWoSKvBEUo4YYBNfX1VqVK7I21x2sWOpRIKpZJgYhxLzkNr0Kqw&#10;cCNSyvbOWxXT6TuuvTqmcjtwkWUrblVPacGoEZ8Ntj+7g5Xw9o0N0vTS5H7rwnt+Mr/+a5by9mZ+&#10;WgOLOMd/GM76SR3q5NS4A+nABglCiFVCU7B8BHYGRFEIYI2Eh2VeAK8rfvlD/QcAAP//AwBQSwEC&#10;LQAUAAYACAAAACEAtoM4kv4AAADhAQAAEwAAAAAAAAAAAAAAAAAAAAAAW0NvbnRlbnRfVHlwZXNd&#10;LnhtbFBLAQItABQABgAIAAAAIQA4/SH/1gAAAJQBAAALAAAAAAAAAAAAAAAAAC8BAABfcmVscy8u&#10;cmVsc1BLAQItABQABgAIAAAAIQC4gozRKAIAAEwEAAAOAAAAAAAAAAAAAAAAAC4CAABkcnMvZTJv&#10;RG9jLnhtbFBLAQItABQABgAIAAAAIQBXnRWQ3gAAAAsBAAAPAAAAAAAAAAAAAAAAAIIEAABkcnMv&#10;ZG93bnJldi54bWxQSwUGAAAAAAQABADzAAAAjQUAAAAA&#10;" fillcolor="red">
                <v:textbox>
                  <w:txbxContent>
                    <w:p w:rsidR="003E68A5" w:rsidRPr="003E68A5" w:rsidRDefault="003E68A5" w:rsidP="003E68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</w:pP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The novel opens with images of confinement that display these differences and set th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e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stage for the importance that confinement will play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throughout the story. Lockwood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himself is the first to become imprisoned at Wuther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ing Heights, ostensibly by both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Heathcliff and Catherine, which establishes their role in the story 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as the chief instigators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of conf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inement. Lockwood is trapped at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Wuthering 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Heights when a severe snowstorm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has blown in, and Heathcliff will allow no one to gu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ide Lockwood home. Even without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 guide, Lockwood attempts to leave on his own but is stopped by Heathcliff’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s ferocious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dogs. Lockwood orders them to let him out, which shows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that he already feels trapped,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and he falls into a fit. He writes, ‘I was sick exceedingly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, and dizzy and faint; and thus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compelled, perforce, to accept lodgings under his roof’ (</w:t>
                      </w:r>
                      <w:r w:rsidRPr="003E68A5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WH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, p. 16).</w:t>
                      </w:r>
                      <w:r w:rsidRPr="003E68A5">
                        <w:rPr>
                          <w:rFonts w:ascii="CGSabonMTSup" w:hAnsi="CGSabonMTSup" w:cs="CGSabonMTSup"/>
                          <w:b/>
                          <w:color w:val="292526"/>
                          <w:sz w:val="25"/>
                          <w:szCs w:val="21"/>
                        </w:rPr>
                        <w:t xml:space="preserve">22 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His use of the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word ‘compelled’ reveals that that he is being held there a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gainst his will. This naturally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relates to Heathcliff’s control of the situation.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E6DB3" w:rsidRDefault="003E68A5" w:rsidP="003E68A5">
      <w:pPr>
        <w:tabs>
          <w:tab w:val="left" w:pos="4337"/>
        </w:tabs>
      </w:pPr>
      <w:r>
        <w:tab/>
      </w: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EE6DB3" w:rsidRDefault="00EE6DB3" w:rsidP="00EE6DB3">
      <w:pPr>
        <w:jc w:val="center"/>
      </w:pPr>
    </w:p>
    <w:p w:rsidR="003E68A5" w:rsidRDefault="003E68A5" w:rsidP="00EE6DB3">
      <w:pPr>
        <w:jc w:val="center"/>
      </w:pPr>
    </w:p>
    <w:p w:rsidR="003E68A5" w:rsidRPr="003E68A5" w:rsidRDefault="003E68A5" w:rsidP="003E68A5"/>
    <w:p w:rsidR="003E68A5" w:rsidRPr="003E68A5" w:rsidRDefault="003E68A5" w:rsidP="003E68A5"/>
    <w:p w:rsidR="003E68A5" w:rsidRPr="003E68A5" w:rsidRDefault="003E68A5" w:rsidP="003E68A5"/>
    <w:p w:rsidR="003E68A5" w:rsidRPr="003E68A5" w:rsidRDefault="003E68A5" w:rsidP="003E68A5"/>
    <w:p w:rsidR="003E68A5" w:rsidRPr="003E68A5" w:rsidRDefault="003E68A5" w:rsidP="003E68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CA256" wp14:editId="633C89E4">
                <wp:simplePos x="0" y="0"/>
                <wp:positionH relativeFrom="column">
                  <wp:posOffset>1314450</wp:posOffset>
                </wp:positionH>
                <wp:positionV relativeFrom="paragraph">
                  <wp:posOffset>109220</wp:posOffset>
                </wp:positionV>
                <wp:extent cx="6836410" cy="1257300"/>
                <wp:effectExtent l="0" t="0" r="2159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257300"/>
                        </a:xfrm>
                        <a:prstGeom prst="rect">
                          <a:avLst/>
                        </a:prstGeom>
                        <a:solidFill>
                          <a:srgbClr val="49F5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A5" w:rsidRPr="003E68A5" w:rsidRDefault="003E68A5" w:rsidP="003E68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</w:pP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Catherine’s and Heathcliff’s tendency to exert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control by confining others is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developed during their childhood because they were con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trolled and confined by Hindley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and Joseph. This can be seen in Catherine’s diary entri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es that Lockwood reads while in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her old bed, in which her writing in the books ‘covered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every morsel of blank that the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printer had left’ (</w:t>
                            </w:r>
                            <w:r w:rsidRPr="003E68A5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WH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, p. 18). Her writing itself is confined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to the margins, just as she is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marginalized within her own family, a motherless girl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in a home dominated by men, and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she must striv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e to create a space for herself.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3.5pt;margin-top:8.6pt;width:538.3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2kLAIAAEwEAAAOAAAAZHJzL2Uyb0RvYy54bWysVNtu2zAMfR+wfxD0vthO4zQx4hRdugwD&#10;ugvQ7gNkWY6FSaInKbG7rx8lu1nWYS/D/CCIInVEnkN6czNoRU7COgmmpNkspUQYDrU0h5J+fdy/&#10;WVHiPDM1U2BESZ+Eozfb1682fVeIObSgamEJghhX9F1JW++7Ikkcb4VmbgadMOhswGrm0bSHpLas&#10;R3StknmaLpMebN1Z4MI5PL0bnXQb8ZtGcP+5aZzwRJUUc/NxtXGtwppsN6w4WNa1kk9psH/IQjNp&#10;8NEz1B3zjByt/ANKS27BQeNnHHQCTSO5iDVgNVn6opqHlnUi1oLkuO5Mk/t/sPzT6Yslsi5pTolh&#10;GiV6FIMnb2EgeWCn71yBQQ8dhvkBj1HlWKnr7oF/c8TArmXmIG6thb4VrMbssnAzubg64rgAUvUf&#10;ocZn2NFDBBoaqwN1SAZBdFTp6axMSIXj4XJ1tVxk6OLoy+b59VUatUtY8Xy9s86/F6BJ2JTUovQR&#10;np3unQ/psOI5JLzmQMl6L5WKhj1UO2XJiWGbLNb7fB9rxyu/hSlD+pKu83k+MvBXiDR+kYQXEFp6&#10;7HcldUlX5yBWBN7emTp2o2dSjXt8X5mJyMDdyKIfqmFSbNKngvoJmbUwtjeOI25asD8o6bG1S+q+&#10;H5kVlKgPBtVZZ4tFmIVoLPLrORr20lNdepjhCFVST8m43fk4P4E3A7eoYiMjv0HuMZMpZWzZSPs0&#10;XmEmLu0Y9esnsP0JAAD//wMAUEsDBBQABgAIAAAAIQAMjjXT3gAAAAsBAAAPAAAAZHJzL2Rvd25y&#10;ZXYueG1sTI/BTsMwEETvSPyDtUjcqF0j2ijEqSAIJMSJUsTViZc4Iraj2G2Sv2d7guPqjWbfFLvZ&#10;9eyEY+yCV7BeCWDom2A63yo4fDzfZMBi0t7oPnhUsGCEXXl5UejchMm/42mfWkYlPuZagU1pyDmP&#10;jUWn4yoM6Il9h9HpROfYcjPqicpdz6UQG+505+mD1QNWFpuf/dEpyN4kWvFSTWk5TF/15+OCr0+V&#10;UtdX88M9sIRz+gvDWZ/UoSSnOhy9iaxXIMWWtiQCWwnsHJDZ7QZYTWh9J4GXBf+/ofwFAAD//wMA&#10;UEsBAi0AFAAGAAgAAAAhALaDOJL+AAAA4QEAABMAAAAAAAAAAAAAAAAAAAAAAFtDb250ZW50X1R5&#10;cGVzXS54bWxQSwECLQAUAAYACAAAACEAOP0h/9YAAACUAQAACwAAAAAAAAAAAAAAAAAvAQAAX3Jl&#10;bHMvLnJlbHNQSwECLQAUAAYACAAAACEAoQRNpCwCAABMBAAADgAAAAAAAAAAAAAAAAAuAgAAZHJz&#10;L2Uyb0RvYy54bWxQSwECLQAUAAYACAAAACEADI41094AAAALAQAADwAAAAAAAAAAAAAAAACGBAAA&#10;ZHJzL2Rvd25yZXYueG1sUEsFBgAAAAAEAAQA8wAAAJEFAAAAAA==&#10;" fillcolor="#49f5f5">
                <v:textbox>
                  <w:txbxContent>
                    <w:p w:rsidR="003E68A5" w:rsidRPr="003E68A5" w:rsidRDefault="003E68A5" w:rsidP="003E68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</w:pP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Catherine’s and Heathcliff’s tendency to exert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control by confining others is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developed during their childhood because they were con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trolled and confined by Hindley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and Joseph. This can be seen in Catherine’s diary entri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es that Lockwood reads while in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her old bed, in which her writing in the books ‘covered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every morsel of blank that the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printer had left’ (</w:t>
                      </w:r>
                      <w:r w:rsidRPr="003E68A5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WH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, p. 18). Her writing itself is confined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to the margins, just as she is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marginalized within her own family, a motherless girl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in a home dominated by men, and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she must striv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e to create a space for herself. </w:t>
                      </w:r>
                    </w:p>
                  </w:txbxContent>
                </v:textbox>
              </v:shape>
            </w:pict>
          </mc:Fallback>
        </mc:AlternateContent>
      </w:r>
    </w:p>
    <w:p w:rsidR="003E68A5" w:rsidRPr="003E68A5" w:rsidRDefault="003E68A5" w:rsidP="003E68A5"/>
    <w:p w:rsidR="003E68A5" w:rsidRPr="003E68A5" w:rsidRDefault="003E68A5" w:rsidP="003E68A5"/>
    <w:p w:rsidR="003E68A5" w:rsidRPr="003E68A5" w:rsidRDefault="003E68A5" w:rsidP="003E68A5"/>
    <w:p w:rsidR="003E68A5" w:rsidRPr="003E68A5" w:rsidRDefault="003E68A5" w:rsidP="003E68A5"/>
    <w:p w:rsidR="003E68A5" w:rsidRPr="003E68A5" w:rsidRDefault="003E68A5" w:rsidP="003E68A5"/>
    <w:p w:rsidR="003E68A5" w:rsidRDefault="003E68A5" w:rsidP="003E68A5"/>
    <w:p w:rsidR="00EE6DB3" w:rsidRDefault="003E68A5" w:rsidP="003E68A5">
      <w:pPr>
        <w:tabs>
          <w:tab w:val="left" w:pos="5308"/>
        </w:tabs>
      </w:pPr>
      <w:r>
        <w:tab/>
      </w:r>
    </w:p>
    <w:p w:rsidR="003E68A5" w:rsidRDefault="003E68A5" w:rsidP="003E68A5">
      <w:pPr>
        <w:tabs>
          <w:tab w:val="left" w:pos="5308"/>
        </w:tabs>
      </w:pPr>
    </w:p>
    <w:p w:rsidR="003E68A5" w:rsidRDefault="003E68A5" w:rsidP="003E68A5">
      <w:pPr>
        <w:tabs>
          <w:tab w:val="left" w:pos="5308"/>
        </w:tabs>
      </w:pPr>
    </w:p>
    <w:p w:rsidR="003E68A5" w:rsidRDefault="003E68A5" w:rsidP="003E68A5">
      <w:pPr>
        <w:tabs>
          <w:tab w:val="left" w:pos="5308"/>
        </w:tabs>
      </w:pPr>
    </w:p>
    <w:p w:rsidR="003E68A5" w:rsidRDefault="003E68A5" w:rsidP="003E68A5">
      <w:pPr>
        <w:tabs>
          <w:tab w:val="left" w:pos="5308"/>
        </w:tabs>
      </w:pPr>
    </w:p>
    <w:p w:rsidR="003E68A5" w:rsidRPr="003E68A5" w:rsidRDefault="003E68A5" w:rsidP="003E68A5">
      <w:pPr>
        <w:tabs>
          <w:tab w:val="left" w:pos="5308"/>
        </w:tabs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B3ADD" wp14:editId="1A4DFD9D">
                <wp:simplePos x="0" y="0"/>
                <wp:positionH relativeFrom="column">
                  <wp:posOffset>1562100</wp:posOffset>
                </wp:positionH>
                <wp:positionV relativeFrom="paragraph">
                  <wp:posOffset>1543050</wp:posOffset>
                </wp:positionV>
                <wp:extent cx="6836410" cy="2466975"/>
                <wp:effectExtent l="0" t="0" r="2159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466975"/>
                        </a:xfrm>
                        <a:prstGeom prst="rect">
                          <a:avLst/>
                        </a:prstGeom>
                        <a:solidFill>
                          <a:srgbClr val="F747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A5" w:rsidRPr="003E68A5" w:rsidRDefault="003E68A5" w:rsidP="003E68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</w:pP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As Catherine and Heathcliff are both controlled as yo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ung children, they both develop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 need to be in control. As children, though, before eith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er is forced into gender roles,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their methods of gaining control are similar, without the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necessity of confining anyone.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Heathcliff, the petted favourite of Mr </w:t>
                            </w:r>
                            <w:proofErr w:type="spellStart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Earnshaw</w:t>
                            </w:r>
                            <w:proofErr w:type="spellEnd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, uses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this to exert his control </w:t>
                            </w:r>
                            <w:proofErr w:type="gramStart"/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over 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Hindley</w:t>
                            </w:r>
                            <w:proofErr w:type="gramEnd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. He reveals this control most particularly when he 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blackmails Hindley into trading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horses with him by threatening, ‘You must exchange horses with me; I don’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t like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mine, and if you won’t I shall tell your father of the three thrashings you’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ve given me this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week, and show him my arm, which is black to the shoulder’ (</w:t>
                            </w:r>
                            <w:r w:rsidRPr="003E68A5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, p. 37). Catherine,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also as a child, begins to show a need to be in control. Nelly says, ‘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In play, she liked,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exceedingly, to act the little mistress, using her h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ands freely, and commanding her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companions’ (</w:t>
                            </w:r>
                            <w:r w:rsidRPr="003E68A5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WH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, p. 40). Significantly, at this point, Catherine has control over</w:t>
                            </w:r>
                          </w:p>
                          <w:p w:rsidR="003E68A5" w:rsidRPr="003E68A5" w:rsidRDefault="003E68A5" w:rsidP="003E68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</w:pP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Heathcliff; he ‘would do her bidding in anything’ but only Mr </w:t>
                            </w:r>
                            <w:proofErr w:type="spellStart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Earnshaw’s</w:t>
                            </w:r>
                            <w:proofErr w:type="spellEnd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‘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when it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suited his own inclination’ (</w:t>
                            </w:r>
                            <w:r w:rsidRPr="003E68A5">
                              <w:rPr>
                                <w:rFonts w:ascii="SabonMT-ItalicOSF" w:hAnsi="SabonMT-ItalicOSF" w:cs="SabonMT-ItalicOSF"/>
                                <w:b/>
                                <w:i/>
                                <w:iCs/>
                                <w:color w:val="292526"/>
                                <w:sz w:val="25"/>
                                <w:szCs w:val="21"/>
                              </w:rPr>
                              <w:t>WH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, p. 41). Acting together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in what Gilbert and </w:t>
                            </w:r>
                            <w:proofErr w:type="spellStart"/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Gubar</w:t>
                            </w:r>
                            <w:proofErr w:type="spellEnd"/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call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an androgynous whole</w:t>
                            </w:r>
                            <w:proofErr w:type="gramStart"/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,</w:t>
                            </w:r>
                            <w:r w:rsidRPr="003E68A5">
                              <w:rPr>
                                <w:rFonts w:ascii="CGSabonMTSup" w:hAnsi="CGSabonMTSup" w:cs="CGSabonMTSup"/>
                                <w:b/>
                                <w:color w:val="292526"/>
                                <w:sz w:val="25"/>
                                <w:szCs w:val="21"/>
                              </w:rPr>
                              <w:t>24</w:t>
                            </w:r>
                            <w:proofErr w:type="gramEnd"/>
                            <w:r w:rsidRPr="003E68A5">
                              <w:rPr>
                                <w:rFonts w:ascii="CGSabonMTSup" w:hAnsi="CGSabonMTSup" w:cs="CGSabonMTSup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the two children are able to c</w:t>
                            </w:r>
                            <w:r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 xml:space="preserve">arve out a small piece of power </w:t>
                            </w:r>
                            <w:r w:rsidRPr="003E68A5">
                              <w:rPr>
                                <w:rFonts w:ascii="SabonMT-OSF" w:hAnsi="SabonMT-OSF" w:cs="SabonMT-OSF"/>
                                <w:b/>
                                <w:color w:val="292526"/>
                                <w:sz w:val="25"/>
                                <w:szCs w:val="21"/>
                              </w:rPr>
                              <w:t>within the household politics.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23pt;margin-top:121.5pt;width:538.3pt;height:19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N2KwIAAEwEAAAOAAAAZHJzL2Uyb0RvYy54bWysVNuO2jAQfa/Uf7D8XgIUAkSE1RZKVWl7&#10;kXb7AY7jEKuOx7UNCf36HTuBsq36UjUPlsczPp45Zybru65R5CSsk6BzOhmNKRGaQyn1IaffnvZv&#10;lpQ4z3TJFGiR07Nw9G7z+tW6NZmYQg2qFJYgiHZZa3Jae2+yJHG8Fg1zIzBCo7MC2zCPpj0kpWUt&#10;ojcqmY7HadKCLY0FLpzD013vpJuIX1WC+y9V5YQnKqeYm4+rjWsR1mSzZtnBMlNLPqTB/iGLhkmN&#10;j16hdswzcrTyD6hGcgsOKj/i0CRQVZKLWANWMxn/Vs1jzYyItSA5zlxpcv8Pln8+fbVEljlNKdGs&#10;QYmeROfJO+hIGthpjcsw6NFgmO/wGFWOlTrzAPy7Ixq2NdMHcW8ttLVgJWY3CTeTm6s9jgsgRfsJ&#10;SnyGHT1EoK6yTaAOySCIjiqdr8qEVDgepsu36WyCLo6+6SxNV4t5fINll+vGOv9BQEPCJqcWpY/w&#10;7PTgfEiHZZeQ8JoDJcu9VCoa9lBslSUnhm2yX8wWuwv6izClSZvT1Xw67xn4K8Q4fkOCLyAa6bHf&#10;lWxyurwGsSzw9l6XsRs9k6rfY8pKD0QG7noWfVd0g2KDPgWUZ2TWQt/eOI64qcH+pKTF1s6p+3Fk&#10;VlCiPmpUZzWZzcIsRGM2X0zRsLee4tbDNEeonHpK+u3Wx/kJvGm4RxUrGfkNcveZDCljy0bah/EK&#10;M3Frx6hfP4HNMwAAAP//AwBQSwMEFAAGAAgAAAAhAMMYC/DgAAAADAEAAA8AAABkcnMvZG93bnJl&#10;di54bWxMj71OxDAQhHsk3sFaJDrOiXNYKMQ5IQQUiCvuR6L1xSYOxOtg+5Lw9jgVdDPa0ew31Wa2&#10;PRm1D51DAfkqA6KxcarDVsDx8HxzByREiUr2DrWAHx1gU19eVLJUbsKdHvexJakEQykFmBiHktLQ&#10;GG1lWLlBY7p9OG9lTNa3VHk5pXLbU5ZlnFrZYfpg5KAfjW6+9mcr4NV/mje23b3LPK6348v304FP&#10;RyGur+aHeyBRz/EvDAt+Qoc6MZ3cGVUgvQC25mlLXESRxJIoGONATgJ4kd8CrSv6f0T9CwAA//8D&#10;AFBLAQItABQABgAIAAAAIQC2gziS/gAAAOEBAAATAAAAAAAAAAAAAAAAAAAAAABbQ29udGVudF9U&#10;eXBlc10ueG1sUEsBAi0AFAAGAAgAAAAhADj9If/WAAAAlAEAAAsAAAAAAAAAAAAAAAAALwEAAF9y&#10;ZWxzLy5yZWxzUEsBAi0AFAAGAAgAAAAhAN85Q3YrAgAATAQAAA4AAAAAAAAAAAAAAAAALgIAAGRy&#10;cy9lMm9Eb2MueG1sUEsBAi0AFAAGAAgAAAAhAMMYC/DgAAAADAEAAA8AAAAAAAAAAAAAAAAAhQQA&#10;AGRycy9kb3ducmV2LnhtbFBLBQYAAAAABAAEAPMAAACSBQAAAAA=&#10;" fillcolor="#f747d5">
                <v:textbox>
                  <w:txbxContent>
                    <w:p w:rsidR="003E68A5" w:rsidRPr="003E68A5" w:rsidRDefault="003E68A5" w:rsidP="003E68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</w:pP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As Catherine and Heathcliff are both controlled as yo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ung children, they both develop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 need to be in control. As children, though, before eith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er is forced into gender roles,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their methods of gaining control are similar, without the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necessity of confining anyone.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Heathcliff, the petted favourite of Mr </w:t>
                      </w:r>
                      <w:proofErr w:type="spellStart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Earnshaw</w:t>
                      </w:r>
                      <w:proofErr w:type="spellEnd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, uses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this to exert his control </w:t>
                      </w:r>
                      <w:proofErr w:type="gramStart"/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over 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Hindley</w:t>
                      </w:r>
                      <w:proofErr w:type="gramEnd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. He reveals this control most particularly when he 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blackmails Hindley into trading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horses with him by threatening, ‘You must exchange horses with me; I don’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t like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mine, and if you won’t I shall tell your father of the three thrashings you’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ve given me this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week, and show him my arm, which is black to the shoulder’ (</w:t>
                      </w:r>
                      <w:r w:rsidRPr="003E68A5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WH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, p. 37). Catherine,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also as a child, begins to show a need to be in control. Nelly says, ‘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In play, she liked,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exceedingly, to act the little mistress, using her h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ands freely, and commanding her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companions’ (</w:t>
                      </w:r>
                      <w:r w:rsidRPr="003E68A5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WH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, p. 40). Significantly, at this point, Catherine has control over</w:t>
                      </w:r>
                    </w:p>
                    <w:p w:rsidR="003E68A5" w:rsidRPr="003E68A5" w:rsidRDefault="003E68A5" w:rsidP="003E68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</w:pP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Heathcliff; he ‘would do her bidding in anything’ but only Mr </w:t>
                      </w:r>
                      <w:proofErr w:type="spellStart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Earnshaw’s</w:t>
                      </w:r>
                      <w:proofErr w:type="spellEnd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‘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when it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suited his own inclination’ (</w:t>
                      </w:r>
                      <w:r w:rsidRPr="003E68A5">
                        <w:rPr>
                          <w:rFonts w:ascii="SabonMT-ItalicOSF" w:hAnsi="SabonMT-ItalicOSF" w:cs="SabonMT-ItalicOSF"/>
                          <w:b/>
                          <w:i/>
                          <w:iCs/>
                          <w:color w:val="292526"/>
                          <w:sz w:val="25"/>
                          <w:szCs w:val="21"/>
                        </w:rPr>
                        <w:t>WH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, p. 41). Acting together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in what Gilbert and </w:t>
                      </w:r>
                      <w:proofErr w:type="spellStart"/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Gubar</w:t>
                      </w:r>
                      <w:proofErr w:type="spellEnd"/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 call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an androgynous whole</w:t>
                      </w:r>
                      <w:proofErr w:type="gramStart"/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,</w:t>
                      </w:r>
                      <w:r w:rsidRPr="003E68A5">
                        <w:rPr>
                          <w:rFonts w:ascii="CGSabonMTSup" w:hAnsi="CGSabonMTSup" w:cs="CGSabonMTSup"/>
                          <w:b/>
                          <w:color w:val="292526"/>
                          <w:sz w:val="25"/>
                          <w:szCs w:val="21"/>
                        </w:rPr>
                        <w:t>24</w:t>
                      </w:r>
                      <w:proofErr w:type="gramEnd"/>
                      <w:r w:rsidRPr="003E68A5">
                        <w:rPr>
                          <w:rFonts w:ascii="CGSabonMTSup" w:hAnsi="CGSabonMTSup" w:cs="CGSabonMTSup"/>
                          <w:b/>
                          <w:color w:val="292526"/>
                          <w:sz w:val="25"/>
                          <w:szCs w:val="21"/>
                        </w:rPr>
                        <w:t xml:space="preserve">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the two children are able to c</w:t>
                      </w:r>
                      <w:r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 xml:space="preserve">arve out a small piece of power </w:t>
                      </w:r>
                      <w:r w:rsidRPr="003E68A5">
                        <w:rPr>
                          <w:rFonts w:ascii="SabonMT-OSF" w:hAnsi="SabonMT-OSF" w:cs="SabonMT-OSF"/>
                          <w:b/>
                          <w:color w:val="292526"/>
                          <w:sz w:val="25"/>
                          <w:szCs w:val="21"/>
                        </w:rPr>
                        <w:t>within the household politics.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8A5" w:rsidRPr="003E68A5" w:rsidSect="00EE6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MT-ItalicOS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MT-O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SabonMTSu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MT-SCO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B3"/>
    <w:rsid w:val="003E68A5"/>
    <w:rsid w:val="009F0767"/>
    <w:rsid w:val="00E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mee</dc:creator>
  <cp:lastModifiedBy>katherine mee</cp:lastModifiedBy>
  <cp:revision>1</cp:revision>
  <dcterms:created xsi:type="dcterms:W3CDTF">2014-03-30T18:06:00Z</dcterms:created>
  <dcterms:modified xsi:type="dcterms:W3CDTF">2014-03-30T18:30:00Z</dcterms:modified>
</cp:coreProperties>
</file>